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4A" w:rsidRDefault="006B1353" w:rsidP="00BF19EA">
      <w:pPr>
        <w:pStyle w:val="Title"/>
        <w:ind w:left="-993"/>
        <w:rPr>
          <w:color w:val="0070C0"/>
          <w:sz w:val="72"/>
          <w:szCs w:val="72"/>
        </w:rPr>
      </w:pPr>
      <w:bookmarkStart w:id="0" w:name="_GoBack"/>
      <w:bookmarkEnd w:id="0"/>
      <w:r>
        <w:rPr>
          <w:noProof/>
          <w:lang w:val="en-AU" w:eastAsia="zh-CN"/>
        </w:rPr>
        <mc:AlternateContent>
          <mc:Choice Requires="wps">
            <w:drawing>
              <wp:anchor distT="0" distB="0" distL="114300" distR="114300" simplePos="0" relativeHeight="251657728" behindDoc="0" locked="0" layoutInCell="1" allowOverlap="1">
                <wp:simplePos x="0" y="0"/>
                <wp:positionH relativeFrom="column">
                  <wp:posOffset>4846320</wp:posOffset>
                </wp:positionH>
                <wp:positionV relativeFrom="paragraph">
                  <wp:posOffset>28575</wp:posOffset>
                </wp:positionV>
                <wp:extent cx="955040" cy="2844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44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D174A" w:rsidRPr="004A55BB" w:rsidRDefault="006D174A">
                            <w:pPr>
                              <w:rPr>
                                <w:color w:val="0070C0"/>
                                <w:lang w:val="en-AU"/>
                              </w:rPr>
                            </w:pPr>
                            <w:r>
                              <w:rPr>
                                <w:color w:val="0070C0"/>
                                <w:lang w:val="en-AU"/>
                              </w:rPr>
                              <w:t>Feb</w:t>
                            </w:r>
                            <w:r w:rsidRPr="004A55BB">
                              <w:rPr>
                                <w:b/>
                                <w:bCs/>
                                <w:caps/>
                                <w:color w:val="0070C0"/>
                                <w:lang w:val="en-AU"/>
                              </w:rPr>
                              <w:t xml:space="preserve"> 201</w:t>
                            </w:r>
                            <w:r>
                              <w:rPr>
                                <w:b/>
                                <w:bCs/>
                                <w:caps/>
                                <w:color w:val="0070C0"/>
                                <w:lang w:val="en-AU"/>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6pt;margin-top:2.25pt;width:75.2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NZggIAAA4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" stroked="f" strokeweight=".5pt">
                <v:textbox>
                  <w:txbxContent>
                    <w:p w:rsidR="006D174A" w:rsidRPr="004A55BB" w:rsidRDefault="006D174A">
                      <w:pPr>
                        <w:rPr>
                          <w:color w:val="0070C0"/>
                          <w:lang w:val="en-AU"/>
                        </w:rPr>
                      </w:pPr>
                      <w:r>
                        <w:rPr>
                          <w:color w:val="0070C0"/>
                          <w:lang w:val="en-AU"/>
                        </w:rPr>
                        <w:t>Feb</w:t>
                      </w:r>
                      <w:r w:rsidRPr="004A55BB">
                        <w:rPr>
                          <w:b/>
                          <w:bCs/>
                          <w:caps/>
                          <w:color w:val="0070C0"/>
                          <w:lang w:val="en-AU"/>
                        </w:rPr>
                        <w:t xml:space="preserve"> 201</w:t>
                      </w:r>
                      <w:r>
                        <w:rPr>
                          <w:b/>
                          <w:bCs/>
                          <w:caps/>
                          <w:color w:val="0070C0"/>
                          <w:lang w:val="en-AU"/>
                        </w:rPr>
                        <w:t>6</w:t>
                      </w:r>
                    </w:p>
                  </w:txbxContent>
                </v:textbox>
              </v:shape>
            </w:pict>
          </mc:Fallback>
        </mc:AlternateContent>
      </w:r>
      <w:r w:rsidR="006D174A" w:rsidRPr="004A55BB">
        <w:rPr>
          <w:color w:val="0070C0"/>
          <w:sz w:val="72"/>
          <w:szCs w:val="72"/>
        </w:rPr>
        <w:t xml:space="preserve">Through the </w:t>
      </w:r>
      <w:r w:rsidR="006D174A">
        <w:rPr>
          <w:color w:val="0070C0"/>
          <w:sz w:val="72"/>
          <w:szCs w:val="72"/>
        </w:rPr>
        <w:t>s</w:t>
      </w:r>
      <w:r w:rsidR="006D174A" w:rsidRPr="004A55BB">
        <w:rPr>
          <w:color w:val="0070C0"/>
          <w:sz w:val="72"/>
          <w:szCs w:val="72"/>
        </w:rPr>
        <w:t>cope</w:t>
      </w:r>
    </w:p>
    <w:p w:rsidR="006D174A" w:rsidRPr="004A55BB" w:rsidRDefault="006D174A" w:rsidP="00BF19EA">
      <w:pPr>
        <w:pStyle w:val="Title"/>
        <w:ind w:left="-993"/>
        <w:rPr>
          <w:color w:val="0070C0"/>
          <w:sz w:val="72"/>
          <w:szCs w:val="72"/>
        </w:rPr>
      </w:pPr>
      <w:r>
        <w:rPr>
          <w:color w:val="0070C0"/>
          <w:sz w:val="72"/>
          <w:szCs w:val="72"/>
        </w:rPr>
        <w:t>@</w:t>
      </w:r>
      <w:smartTag w:uri="urn:schemas-microsoft-com:office:smarttags" w:element="City">
        <w:smartTag w:uri="urn:schemas-microsoft-com:office:smarttags" w:element="place">
          <w:r w:rsidRPr="00D4784A">
            <w:rPr>
              <w:color w:val="auto"/>
              <w:sz w:val="72"/>
              <w:szCs w:val="72"/>
              <w:highlight w:val="yellow"/>
            </w:rPr>
            <w:t>logan</w:t>
          </w:r>
        </w:smartTag>
      </w:smartTag>
      <w:r w:rsidRPr="00D4784A">
        <w:rPr>
          <w:color w:val="auto"/>
          <w:sz w:val="72"/>
          <w:szCs w:val="72"/>
          <w:highlight w:val="yellow"/>
        </w:rPr>
        <w:t xml:space="preserve"> endoscopy</w:t>
      </w:r>
      <w:r>
        <w:rPr>
          <w:color w:val="0070C0"/>
          <w:sz w:val="72"/>
          <w:szCs w:val="72"/>
        </w:rPr>
        <w:t xml:space="preserve"> </w:t>
      </w:r>
    </w:p>
    <w:tbl>
      <w:tblPr>
        <w:tblW w:w="9923" w:type="dxa"/>
        <w:jc w:val="center"/>
        <w:tblLayout w:type="fixed"/>
        <w:tblCellMar>
          <w:left w:w="0" w:type="dxa"/>
          <w:right w:w="0" w:type="dxa"/>
        </w:tblCellMar>
        <w:tblLook w:val="00A0" w:firstRow="1" w:lastRow="0" w:firstColumn="1" w:lastColumn="0" w:noHBand="0" w:noVBand="0"/>
      </w:tblPr>
      <w:tblGrid>
        <w:gridCol w:w="2977"/>
        <w:gridCol w:w="570"/>
        <w:gridCol w:w="6376"/>
      </w:tblGrid>
      <w:tr w:rsidR="006D174A" w:rsidRPr="005C116D" w:rsidTr="00BF19EA">
        <w:trPr>
          <w:jc w:val="center"/>
        </w:trPr>
        <w:tc>
          <w:tcPr>
            <w:tcW w:w="2977" w:type="dxa"/>
          </w:tcPr>
          <w:p w:rsidR="006D174A" w:rsidRPr="005C116D" w:rsidRDefault="006B1353">
            <w:r>
              <w:rPr>
                <w:noProof/>
                <w:lang w:val="en-AU" w:eastAsia="zh-CN"/>
              </w:rPr>
              <w:drawing>
                <wp:inline distT="0" distB="0" distL="0" distR="0">
                  <wp:extent cx="1800225" cy="1800225"/>
                  <wp:effectExtent l="0" t="0" r="9525" b="9525"/>
                  <wp:docPr id="1" name="Picture 4" descr="http://www.brandsafeprotection.com/wp-content/uploads/2012/03/Safety-Quality-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andsafeprotection.com/wp-content/uploads/2012/03/Safety-Quality-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6D174A" w:rsidRPr="005C116D" w:rsidRDefault="006D174A">
            <w:pPr>
              <w:pStyle w:val="Caption"/>
            </w:pPr>
          </w:p>
          <w:p w:rsidR="006D174A" w:rsidRPr="005C116D" w:rsidRDefault="006D174A" w:rsidP="00BF19EA"/>
          <w:p w:rsidR="006D174A" w:rsidRPr="005C116D" w:rsidRDefault="006D174A" w:rsidP="00BF19EA">
            <w:pPr>
              <w:pStyle w:val="Heading1"/>
              <w:rPr>
                <w:rStyle w:val="Heading1Char"/>
                <w:b/>
                <w:bCs/>
              </w:rPr>
            </w:pPr>
            <w:r w:rsidRPr="005C116D">
              <w:rPr>
                <w:rStyle w:val="Heading1Char"/>
                <w:b/>
                <w:bCs/>
              </w:rPr>
              <w:t>Tell us what you think</w:t>
            </w:r>
          </w:p>
          <w:p w:rsidR="006D174A" w:rsidRPr="005C116D" w:rsidRDefault="006D174A" w:rsidP="00322D6B">
            <w:r w:rsidRPr="005C116D">
              <w:t xml:space="preserve">Every </w:t>
            </w:r>
            <w:r>
              <w:t>few</w:t>
            </w:r>
            <w:r w:rsidRPr="005C116D">
              <w:t xml:space="preserve"> months, we will attempt to identify an area that we would like to </w:t>
            </w:r>
            <w:r>
              <w:t xml:space="preserve">consider to </w:t>
            </w:r>
            <w:r w:rsidRPr="005C116D">
              <w:t>improve</w:t>
            </w:r>
            <w:r>
              <w:t xml:space="preserve"> on</w:t>
            </w:r>
            <w:r w:rsidRPr="005C116D">
              <w:t>.</w:t>
            </w:r>
          </w:p>
          <w:p w:rsidR="006D174A" w:rsidRPr="005C116D" w:rsidRDefault="006D174A" w:rsidP="00322D6B">
            <w:r>
              <w:t>W</w:t>
            </w:r>
            <w:r w:rsidRPr="005C116D">
              <w:t xml:space="preserve">e are trying to seek feedback from patients about how we may improve </w:t>
            </w:r>
            <w:r>
              <w:t xml:space="preserve">our communication with our clientele. We are trying to get consumer and carers’ participation by getting feedbacks on our website: </w:t>
            </w:r>
            <w:r w:rsidRPr="00B61AEB">
              <w:t xml:space="preserve">http://loganendoscopy.com.au/ </w:t>
            </w:r>
            <w:r>
              <w:t xml:space="preserve"> to improve on the information that our clientele would like and need to book an appointment through to attending for their procedures at </w:t>
            </w:r>
            <w:smartTag w:uri="urn:schemas-microsoft-com:office:smarttags" w:element="place">
              <w:smartTag w:uri="urn:schemas-microsoft-com:office:smarttags" w:element="PlaceName">
                <w:r>
                  <w:t>Logan</w:t>
                </w:r>
              </w:smartTag>
              <w:r>
                <w:t xml:space="preserve"> </w:t>
              </w:r>
              <w:smartTag w:uri="urn:schemas-microsoft-com:office:smarttags" w:element="PlaceName">
                <w:r>
                  <w:t>Endoscopy</w:t>
                </w:r>
              </w:smartTag>
              <w:r>
                <w:t xml:space="preserve"> </w:t>
              </w:r>
              <w:smartTag w:uri="urn:schemas-microsoft-com:office:smarttags" w:element="PlaceName">
                <w:r>
                  <w:t>Day</w:t>
                </w:r>
              </w:smartTag>
              <w:r>
                <w:t xml:space="preserve"> </w:t>
              </w:r>
              <w:smartTag w:uri="urn:schemas-microsoft-com:office:smarttags" w:element="PlaceName">
                <w:r>
                  <w:t>Surgery</w:t>
                </w:r>
              </w:smartTag>
              <w:r>
                <w:t xml:space="preserve"> </w:t>
              </w:r>
              <w:smartTag w:uri="urn:schemas-microsoft-com:office:smarttags" w:element="PlaceType">
                <w:r>
                  <w:t>Center</w:t>
                </w:r>
              </w:smartTag>
            </w:smartTag>
            <w:r>
              <w:t>.</w:t>
            </w:r>
          </w:p>
          <w:p w:rsidR="006D174A" w:rsidRPr="005C116D" w:rsidRDefault="006D174A" w:rsidP="00322D6B">
            <w:r w:rsidRPr="005C116D">
              <w:t>Do you have any suggestions?  Please let the nurse know, or you may choose to email us on:</w:t>
            </w:r>
          </w:p>
          <w:p w:rsidR="006D174A" w:rsidRPr="005C116D" w:rsidRDefault="007E4C62" w:rsidP="00322D6B">
            <w:hyperlink r:id="rId8" w:history="1">
              <w:r w:rsidR="006D174A" w:rsidRPr="005C116D">
                <w:rPr>
                  <w:rStyle w:val="Hyperlink"/>
                </w:rPr>
                <w:t>office@loganendoscopy.com.au</w:t>
              </w:r>
            </w:hyperlink>
          </w:p>
          <w:p w:rsidR="006D174A" w:rsidRDefault="006D174A" w:rsidP="00322D6B">
            <w:r w:rsidRPr="005C116D">
              <w:t>This feedback is given directly to our management team.</w:t>
            </w:r>
          </w:p>
          <w:p w:rsidR="006D174A" w:rsidRPr="005C116D" w:rsidRDefault="006D174A" w:rsidP="00322D6B"/>
          <w:p w:rsidR="006D174A" w:rsidRDefault="006B1353" w:rsidP="00322D6B">
            <w:r>
              <w:rPr>
                <w:noProof/>
                <w:lang w:val="en-AU" w:eastAsia="zh-CN"/>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1312545</wp:posOffset>
                      </wp:positionV>
                      <wp:extent cx="2037715" cy="274955"/>
                      <wp:effectExtent l="0" t="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49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D174A" w:rsidRPr="00D143AF" w:rsidRDefault="006D174A">
                                  <w:pPr>
                                    <w:rPr>
                                      <w:b/>
                                      <w:lang w:val="en-AU"/>
                                    </w:rPr>
                                  </w:pPr>
                                  <w:r w:rsidRPr="00D143AF">
                                    <w:rPr>
                                      <w:b/>
                                      <w:lang w:val="en-AU"/>
                                    </w:rPr>
                                    <w:t>www.loganendoscopy.com.au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5pt;margin-top:103.35pt;width:160.4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KM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" stroked="f" strokeweight=".5pt">
                      <v:textbox>
                        <w:txbxContent>
                          <w:p w:rsidR="006D174A" w:rsidRPr="00D143AF" w:rsidRDefault="006D174A">
                            <w:pPr>
                              <w:rPr>
                                <w:b/>
                                <w:lang w:val="en-AU"/>
                              </w:rPr>
                            </w:pPr>
                            <w:r w:rsidRPr="00D143AF">
                              <w:rPr>
                                <w:b/>
                                <w:lang w:val="en-AU"/>
                              </w:rPr>
                              <w:t>www.loganendoscopy.com.au</w:t>
                            </w:r>
                          </w:p>
                        </w:txbxContent>
                      </v:textbox>
                    </v:shape>
                  </w:pict>
                </mc:Fallback>
              </mc:AlternateContent>
            </w:r>
            <w:r w:rsidR="006D174A" w:rsidRPr="005C116D">
              <w:rPr>
                <w:rStyle w:val="Heading1Char"/>
                <w:bCs w:val="0"/>
              </w:rPr>
              <w:t xml:space="preserve">Our </w:t>
            </w:r>
            <w:r w:rsidR="006D174A">
              <w:rPr>
                <w:rStyle w:val="Heading1Char"/>
                <w:bCs w:val="0"/>
              </w:rPr>
              <w:t>W</w:t>
            </w:r>
            <w:r w:rsidR="006D174A" w:rsidRPr="005C116D">
              <w:rPr>
                <w:rStyle w:val="Heading1Char"/>
                <w:bCs w:val="0"/>
              </w:rPr>
              <w:t>ebsite</w:t>
            </w:r>
            <w:r w:rsidR="006D174A" w:rsidRPr="00CC023D">
              <w:rPr>
                <w:noProof/>
                <w:shd w:val="clear" w:color="auto" w:fill="FFFF00"/>
                <w:lang w:val="en-AU" w:eastAsia="zh-CN"/>
              </w:rPr>
              <w:t xml:space="preserve"> </w:t>
            </w:r>
            <w:r>
              <w:rPr>
                <w:noProof/>
                <w:shd w:val="clear" w:color="auto" w:fill="FFFF00"/>
                <w:lang w:val="en-AU" w:eastAsia="zh-CN"/>
              </w:rPr>
              <w:drawing>
                <wp:inline distT="0" distB="0" distL="0" distR="0">
                  <wp:extent cx="1889379" cy="847725"/>
                  <wp:effectExtent l="0" t="0" r="0" b="9525"/>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ES Banner.gif"/>
                          <pic:cNvPicPr/>
                        </pic:nvPicPr>
                        <pic:blipFill>
                          <a:blip r:embed="rId9">
                            <a:extLst/>
                          </a:blip>
                          <a:stretch>
                            <a:fillRect/>
                          </a:stretch>
                        </pic:blipFill>
                        <pic:spPr>
                          <a:xfrm>
                            <a:off x="0" y="0"/>
                            <a:ext cx="1889125" cy="847725"/>
                          </a:xfrm>
                          <a:prstGeom prst="rect">
                            <a:avLst/>
                          </a:prstGeom>
                          <a:gradFill>
                            <a:gsLst>
                              <a:gs pos="0">
                                <a:srgbClr val="FFFF00"/>
                              </a:gs>
                              <a:gs pos="83000">
                                <a:schemeClr val="bg1"/>
                              </a:gs>
                              <a:gs pos="83000">
                                <a:schemeClr val="bg1"/>
                              </a:gs>
                              <a:gs pos="98000">
                                <a:schemeClr val="bg1"/>
                              </a:gs>
                              <a:gs pos="81000">
                                <a:schemeClr val="bg1"/>
                              </a:gs>
                              <a:gs pos="80000">
                                <a:schemeClr val="bg1"/>
                              </a:gs>
                              <a:gs pos="100000">
                                <a:schemeClr val="bg1"/>
                              </a:gs>
                              <a:gs pos="85000">
                                <a:schemeClr val="bg1"/>
                              </a:gs>
                              <a:gs pos="100000">
                                <a:schemeClr val="bg1"/>
                              </a:gs>
                              <a:gs pos="100000">
                                <a:schemeClr val="bg1"/>
                              </a:gs>
                            </a:gsLst>
                            <a:lin ang="5400000" scaled="1"/>
                          </a:gradFill>
                        </pic:spPr>
                      </pic:pic>
                    </a:graphicData>
                  </a:graphic>
                </wp:inline>
              </w:drawing>
            </w:r>
            <w:r w:rsidR="006D174A">
              <w:t xml:space="preserve"> </w:t>
            </w:r>
          </w:p>
          <w:p w:rsidR="006D174A" w:rsidRDefault="006D174A" w:rsidP="00322D6B"/>
          <w:p w:rsidR="006D174A" w:rsidRDefault="006D174A" w:rsidP="00322D6B"/>
          <w:p w:rsidR="006D174A" w:rsidRDefault="006D174A" w:rsidP="00322D6B"/>
          <w:p w:rsidR="006D174A" w:rsidRDefault="006D174A" w:rsidP="00322D6B"/>
          <w:p w:rsidR="006D174A" w:rsidRDefault="006D174A" w:rsidP="00322D6B"/>
          <w:p w:rsidR="006D174A" w:rsidRPr="005C116D" w:rsidRDefault="006B1353" w:rsidP="00322D6B">
            <w:r>
              <w:rPr>
                <w:noProof/>
                <w:lang w:val="en-AU" w:eastAsia="zh-CN"/>
              </w:rPr>
              <w:drawing>
                <wp:inline distT="0" distB="0" distL="0" distR="0">
                  <wp:extent cx="1924050" cy="381000"/>
                  <wp:effectExtent l="0" t="0" r="0" b="0"/>
                  <wp:docPr id="3" name="Picture 3" descr="https://hha.southrock.com/images/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ha.southrock.com/images/heade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p>
        </w:tc>
        <w:tc>
          <w:tcPr>
            <w:tcW w:w="570" w:type="dxa"/>
          </w:tcPr>
          <w:p w:rsidR="006D174A" w:rsidRPr="005C116D" w:rsidRDefault="006D174A"/>
        </w:tc>
        <w:tc>
          <w:tcPr>
            <w:tcW w:w="6376" w:type="dxa"/>
          </w:tcPr>
          <w:p w:rsidR="006D174A" w:rsidRPr="005C116D" w:rsidRDefault="006D174A" w:rsidP="00BF19EA">
            <w:pPr>
              <w:pStyle w:val="Heading1"/>
              <w:rPr>
                <w:rStyle w:val="Heading1Char"/>
                <w:b/>
                <w:bCs/>
              </w:rPr>
            </w:pPr>
            <w:r w:rsidRPr="005C116D">
              <w:rPr>
                <w:rStyle w:val="Heading1Char"/>
                <w:b/>
                <w:bCs/>
              </w:rPr>
              <w:t>What’s New</w:t>
            </w:r>
          </w:p>
          <w:p w:rsidR="006D174A" w:rsidRPr="005C116D" w:rsidRDefault="006D174A" w:rsidP="00BF19EA">
            <w:pPr>
              <w:jc w:val="both"/>
            </w:pPr>
            <w:r w:rsidRPr="005C116D">
              <w:t xml:space="preserve">Logan Endoscopy Service has been going through some </w:t>
            </w:r>
            <w:r>
              <w:t>ongoing</w:t>
            </w:r>
            <w:r w:rsidRPr="005C116D">
              <w:t xml:space="preserve"> changes</w:t>
            </w:r>
            <w:r>
              <w:t xml:space="preserve"> since completing the </w:t>
            </w:r>
            <w:r w:rsidRPr="005C116D">
              <w:t>National Safety &amp; Quality in Healthcare Standards</w:t>
            </w:r>
            <w:r>
              <w:t xml:space="preserve"> with </w:t>
            </w:r>
            <w:r w:rsidRPr="005C116D">
              <w:t>full accreditation survey with ACHS</w:t>
            </w:r>
            <w:r>
              <w:t xml:space="preserve"> on 5</w:t>
            </w:r>
            <w:r w:rsidRPr="00916A75">
              <w:rPr>
                <w:vertAlign w:val="superscript"/>
              </w:rPr>
              <w:t>th</w:t>
            </w:r>
            <w:r>
              <w:t xml:space="preserve"> June 2014.</w:t>
            </w:r>
            <w:r w:rsidRPr="005C116D">
              <w:t xml:space="preserve"> </w:t>
            </w:r>
            <w:r>
              <w:t>T</w:t>
            </w:r>
            <w:r w:rsidRPr="005C116D">
              <w:t xml:space="preserve">his is undertaken every </w:t>
            </w:r>
            <w:r>
              <w:t>3</w:t>
            </w:r>
            <w:r w:rsidRPr="005C116D">
              <w:t xml:space="preserve"> years to ensure we meet specific requirements.  You may wish to review these standards in more detail.  The website is: </w:t>
            </w:r>
            <w:hyperlink r:id="rId11" w:history="1">
              <w:r w:rsidRPr="005C116D">
                <w:rPr>
                  <w:rStyle w:val="Hyperlink"/>
                </w:rPr>
                <w:t>www.safetyandquality.com.au</w:t>
              </w:r>
            </w:hyperlink>
            <w:r w:rsidRPr="005C116D">
              <w:t xml:space="preserve">  These standards now apply to all hospitals across </w:t>
            </w:r>
            <w:smartTag w:uri="urn:schemas-microsoft-com:office:smarttags" w:element="country-region">
              <w:smartTag w:uri="urn:schemas-microsoft-com:office:smarttags" w:element="place">
                <w:r w:rsidRPr="005C116D">
                  <w:t>Australia</w:t>
                </w:r>
              </w:smartTag>
            </w:smartTag>
            <w:r w:rsidRPr="005C116D">
              <w:t>.  There are 10 National Safety &amp; Quality Standards, each with a number of actions to meet.  At a glance, these standards are:</w:t>
            </w:r>
          </w:p>
          <w:p w:rsidR="006D174A" w:rsidRPr="005C116D" w:rsidRDefault="006D174A" w:rsidP="00BF19EA">
            <w:pPr>
              <w:pStyle w:val="ListParagraph"/>
              <w:numPr>
                <w:ilvl w:val="0"/>
                <w:numId w:val="15"/>
              </w:numPr>
              <w:jc w:val="both"/>
            </w:pPr>
            <w:r w:rsidRPr="005C116D">
              <w:t>Governance</w:t>
            </w:r>
          </w:p>
          <w:p w:rsidR="006D174A" w:rsidRPr="005C116D" w:rsidRDefault="006D174A" w:rsidP="00BF19EA">
            <w:pPr>
              <w:pStyle w:val="ListParagraph"/>
              <w:numPr>
                <w:ilvl w:val="0"/>
                <w:numId w:val="15"/>
              </w:numPr>
              <w:jc w:val="both"/>
            </w:pPr>
            <w:r w:rsidRPr="005C116D">
              <w:t>Partnering with Consumers</w:t>
            </w:r>
          </w:p>
          <w:p w:rsidR="006D174A" w:rsidRPr="005C116D" w:rsidRDefault="006D174A" w:rsidP="00BF19EA">
            <w:pPr>
              <w:pStyle w:val="ListParagraph"/>
              <w:numPr>
                <w:ilvl w:val="0"/>
                <w:numId w:val="15"/>
              </w:numPr>
              <w:jc w:val="both"/>
            </w:pPr>
            <w:r w:rsidRPr="005C116D">
              <w:t>Preventing and Controlling healthcare associated infections</w:t>
            </w:r>
          </w:p>
          <w:p w:rsidR="006D174A" w:rsidRPr="005C116D" w:rsidRDefault="006D174A" w:rsidP="00BF19EA">
            <w:pPr>
              <w:pStyle w:val="ListParagraph"/>
              <w:numPr>
                <w:ilvl w:val="0"/>
                <w:numId w:val="15"/>
              </w:numPr>
              <w:jc w:val="both"/>
            </w:pPr>
            <w:r w:rsidRPr="005C116D">
              <w:t>Medication Safety</w:t>
            </w:r>
          </w:p>
          <w:p w:rsidR="006D174A" w:rsidRPr="005C116D" w:rsidRDefault="006D174A" w:rsidP="00BF19EA">
            <w:pPr>
              <w:pStyle w:val="ListParagraph"/>
              <w:numPr>
                <w:ilvl w:val="0"/>
                <w:numId w:val="15"/>
              </w:numPr>
              <w:jc w:val="both"/>
            </w:pPr>
            <w:r w:rsidRPr="005C116D">
              <w:t>Patient Identification and Procedure Matching</w:t>
            </w:r>
          </w:p>
          <w:p w:rsidR="006D174A" w:rsidRPr="005C116D" w:rsidRDefault="006D174A" w:rsidP="00BF19EA">
            <w:pPr>
              <w:pStyle w:val="ListParagraph"/>
              <w:numPr>
                <w:ilvl w:val="0"/>
                <w:numId w:val="15"/>
              </w:numPr>
              <w:jc w:val="both"/>
            </w:pPr>
            <w:r w:rsidRPr="005C116D">
              <w:t>Clinical Handover</w:t>
            </w:r>
          </w:p>
          <w:p w:rsidR="006D174A" w:rsidRPr="005C116D" w:rsidRDefault="006D174A" w:rsidP="00BF19EA">
            <w:pPr>
              <w:pStyle w:val="ListParagraph"/>
              <w:numPr>
                <w:ilvl w:val="0"/>
                <w:numId w:val="15"/>
              </w:numPr>
              <w:jc w:val="both"/>
            </w:pPr>
            <w:r w:rsidRPr="005C116D">
              <w:t>Blood and Blood Products</w:t>
            </w:r>
          </w:p>
          <w:p w:rsidR="006D174A" w:rsidRPr="005C116D" w:rsidRDefault="006D174A" w:rsidP="00BF19EA">
            <w:pPr>
              <w:pStyle w:val="ListParagraph"/>
              <w:numPr>
                <w:ilvl w:val="0"/>
                <w:numId w:val="15"/>
              </w:numPr>
              <w:jc w:val="both"/>
            </w:pPr>
            <w:r w:rsidRPr="005C116D">
              <w:t>Preventing and Managing Pressure Injuries</w:t>
            </w:r>
          </w:p>
          <w:p w:rsidR="006D174A" w:rsidRPr="005C116D" w:rsidRDefault="006D174A" w:rsidP="00BF19EA">
            <w:pPr>
              <w:pStyle w:val="ListParagraph"/>
              <w:numPr>
                <w:ilvl w:val="0"/>
                <w:numId w:val="15"/>
              </w:numPr>
              <w:jc w:val="both"/>
            </w:pPr>
            <w:r w:rsidRPr="005C116D">
              <w:t>Recognising and Responding to Clinical Deterioration</w:t>
            </w:r>
          </w:p>
          <w:p w:rsidR="006D174A" w:rsidRPr="005C116D" w:rsidRDefault="006D174A" w:rsidP="00BF19EA">
            <w:pPr>
              <w:pStyle w:val="ListParagraph"/>
              <w:numPr>
                <w:ilvl w:val="0"/>
                <w:numId w:val="15"/>
              </w:numPr>
              <w:jc w:val="both"/>
            </w:pPr>
            <w:r w:rsidRPr="005C116D">
              <w:t>Preventing Falls and Harm from Falls</w:t>
            </w:r>
          </w:p>
          <w:p w:rsidR="006D174A" w:rsidRPr="005C116D" w:rsidRDefault="006D174A" w:rsidP="00290F10">
            <w:pPr>
              <w:jc w:val="both"/>
            </w:pPr>
            <w:r>
              <w:t>With the new</w:t>
            </w:r>
            <w:r w:rsidRPr="005C116D">
              <w:t xml:space="preserve"> National Safety &amp; Quality in Healthcare Standards</w:t>
            </w:r>
            <w:r>
              <w:t xml:space="preserve">, we </w:t>
            </w:r>
            <w:r w:rsidRPr="005C116D">
              <w:t>continue</w:t>
            </w:r>
            <w:r>
              <w:t xml:space="preserve"> to </w:t>
            </w:r>
            <w:r w:rsidRPr="005C116D">
              <w:t>review our policies and our processes</w:t>
            </w:r>
            <w:r>
              <w:t xml:space="preserve"> every 2- 3 years. T</w:t>
            </w:r>
            <w:r w:rsidRPr="005C116D">
              <w:t>he way we care for our patients and how we engage patients</w:t>
            </w:r>
            <w:r>
              <w:t xml:space="preserve"> to improve on their experience of having an endoscopic procedure at Logan Endoscopy.</w:t>
            </w:r>
            <w:r w:rsidRPr="005C116D">
              <w:t xml:space="preserve">   </w:t>
            </w:r>
            <w:r>
              <w:t>It continues to be a l</w:t>
            </w:r>
            <w:r w:rsidRPr="005C116D">
              <w:t>earning curve for all of us</w:t>
            </w:r>
            <w:r>
              <w:t xml:space="preserve"> as a small day surgery center</w:t>
            </w:r>
            <w:r w:rsidRPr="005C116D">
              <w:t>.  We appreciate your patience while we continue to implement and improve our processes.</w:t>
            </w:r>
          </w:p>
          <w:p w:rsidR="006D174A" w:rsidRDefault="006D174A" w:rsidP="00322D6B">
            <w:pPr>
              <w:pStyle w:val="Heading1"/>
              <w:rPr>
                <w:rStyle w:val="Heading1Char"/>
                <w:b/>
                <w:bCs/>
              </w:rPr>
            </w:pPr>
          </w:p>
          <w:p w:rsidR="006D174A" w:rsidRDefault="006D174A" w:rsidP="00322D6B">
            <w:pPr>
              <w:pStyle w:val="Heading1"/>
              <w:rPr>
                <w:rStyle w:val="Heading1Char"/>
                <w:b/>
                <w:bCs/>
              </w:rPr>
            </w:pPr>
          </w:p>
          <w:p w:rsidR="006D174A" w:rsidRDefault="006D174A" w:rsidP="00322D6B">
            <w:pPr>
              <w:pStyle w:val="Heading1"/>
              <w:rPr>
                <w:rStyle w:val="Heading1Char"/>
                <w:b/>
                <w:bCs/>
              </w:rPr>
            </w:pPr>
          </w:p>
          <w:p w:rsidR="006D174A" w:rsidRPr="002368B4" w:rsidRDefault="006D174A" w:rsidP="002368B4">
            <w:pPr>
              <w:rPr>
                <w:rFonts w:eastAsia="SimSun"/>
              </w:rPr>
            </w:pPr>
          </w:p>
          <w:p w:rsidR="006D174A" w:rsidRPr="005C116D" w:rsidRDefault="006D174A" w:rsidP="00322D6B">
            <w:pPr>
              <w:pStyle w:val="Heading1"/>
              <w:rPr>
                <w:rStyle w:val="Heading1Char"/>
                <w:b/>
                <w:bCs/>
              </w:rPr>
            </w:pPr>
            <w:r w:rsidRPr="005C116D">
              <w:rPr>
                <w:rStyle w:val="Heading1Char"/>
                <w:b/>
                <w:bCs/>
              </w:rPr>
              <w:t>What we have done?</w:t>
            </w:r>
          </w:p>
          <w:p w:rsidR="006D174A" w:rsidRPr="005C116D" w:rsidRDefault="006D174A" w:rsidP="00322D6B">
            <w:pPr>
              <w:jc w:val="both"/>
            </w:pPr>
            <w:r w:rsidRPr="005C116D">
              <w:t xml:space="preserve">We </w:t>
            </w:r>
            <w:r>
              <w:t xml:space="preserve">continue to </w:t>
            </w:r>
            <w:r w:rsidRPr="005C116D">
              <w:t xml:space="preserve">strive to provide </w:t>
            </w:r>
            <w:r>
              <w:t xml:space="preserve">a high level of </w:t>
            </w:r>
            <w:r w:rsidRPr="005C116D">
              <w:t>safety and quality care to our patients.</w:t>
            </w:r>
          </w:p>
          <w:p w:rsidR="006D174A" w:rsidRPr="005C116D" w:rsidRDefault="006D174A" w:rsidP="00322D6B">
            <w:pPr>
              <w:pStyle w:val="ListParagraph"/>
              <w:numPr>
                <w:ilvl w:val="0"/>
                <w:numId w:val="16"/>
              </w:numPr>
              <w:jc w:val="both"/>
            </w:pPr>
            <w:r w:rsidRPr="005C116D">
              <w:rPr>
                <w:b/>
              </w:rPr>
              <w:t>Governance</w:t>
            </w:r>
            <w:r w:rsidRPr="005C116D">
              <w:t xml:space="preserve"> – Regular performance and skill management of staff, further developed our incident, complaints and feedback systems,   and updated our patient engagement processes.</w:t>
            </w:r>
          </w:p>
          <w:p w:rsidR="006D174A" w:rsidRPr="005C116D" w:rsidRDefault="006D174A" w:rsidP="00554371">
            <w:pPr>
              <w:pStyle w:val="ListParagraph"/>
              <w:jc w:val="both"/>
            </w:pPr>
            <w:r w:rsidRPr="005C116D">
              <w:rPr>
                <w:b/>
              </w:rPr>
              <w:lastRenderedPageBreak/>
              <w:t>Partnering with consumers</w:t>
            </w:r>
            <w:r w:rsidRPr="005C116D">
              <w:t xml:space="preserve"> – Introduced a pre-procedure phone call and patient brochure to help identify what our patient’s need before their procedure.</w:t>
            </w:r>
            <w:r>
              <w:t xml:space="preserve"> We introduced a post procedure phone call for patients who may be at higher risks for complications like post polypectomy bleeding and required Endoclips to reduce post polypectomy complications.</w:t>
            </w:r>
            <w:r w:rsidRPr="005C116D">
              <w:t xml:space="preserve">  We seek feedback about our </w:t>
            </w:r>
            <w:r>
              <w:t>processes</w:t>
            </w:r>
            <w:r w:rsidRPr="005C116D">
              <w:t xml:space="preserve"> and invite patients &amp; carers to provide direct feedback to our staff.  Patient Charter is on display in 3 different languages and Interpreter Services are available for non-English speaking patients.</w:t>
            </w:r>
            <w:r>
              <w:t xml:space="preserve"> If you would like to be involved in Partnering as consumers/carers, please let our staff know.</w:t>
            </w:r>
          </w:p>
        </w:tc>
      </w:tr>
    </w:tbl>
    <w:p w:rsidR="006D174A" w:rsidRDefault="006D174A" w:rsidP="00554371">
      <w:pPr>
        <w:pStyle w:val="ListParagraph"/>
        <w:numPr>
          <w:ilvl w:val="0"/>
          <w:numId w:val="16"/>
        </w:numPr>
        <w:ind w:left="-993" w:right="-1011"/>
        <w:jc w:val="both"/>
      </w:pPr>
      <w:r w:rsidRPr="00554371">
        <w:rPr>
          <w:b/>
        </w:rPr>
        <w:lastRenderedPageBreak/>
        <w:t>Infection Control</w:t>
      </w:r>
      <w:r>
        <w:t xml:space="preserve"> – Introduced a number of new policies and infection control strategies and surveillance. During your care, we use Standard precautions to limit the spread of any infection or contaminants. We have educated our staff on Transmission Based Precautions.  We use contact precautions during our procedure and our cleaning processes to restrict the transmission of any contaminants.  We are trying to educate patients about cough etiquette and preventing the spread of respiratory viruses (droplet precautions).  We also want to educate patients about other communicable diseases and when you should not come in for your procedure (airborne precautions).  We educate our staff about antibiotic use, cleaning, disinfection and sterilization. </w:t>
      </w:r>
    </w:p>
    <w:p w:rsidR="006D174A" w:rsidRDefault="006D174A" w:rsidP="00554371">
      <w:pPr>
        <w:pStyle w:val="ListParagraph"/>
        <w:numPr>
          <w:ilvl w:val="0"/>
          <w:numId w:val="16"/>
        </w:numPr>
        <w:ind w:left="-993" w:right="-1011"/>
        <w:jc w:val="both"/>
      </w:pPr>
      <w:r>
        <w:t>There are increasing trends of antibiotics resistance with superbugs, like Golden Staph, VRE and ESBL. Our staff has been trained on our new infection control policies. All of our permanent nurses have completed the NSQHS Infection Control training and Surgical Safety Checklist &amp; Time Out.</w:t>
      </w:r>
    </w:p>
    <w:p w:rsidR="006D174A" w:rsidRDefault="006D174A" w:rsidP="00554371">
      <w:pPr>
        <w:pStyle w:val="ListParagraph"/>
        <w:numPr>
          <w:ilvl w:val="0"/>
          <w:numId w:val="16"/>
        </w:numPr>
        <w:ind w:left="-993" w:right="-1011"/>
        <w:jc w:val="both"/>
      </w:pPr>
      <w:r>
        <w:rPr>
          <w:b/>
        </w:rPr>
        <w:t xml:space="preserve">Medication Safety </w:t>
      </w:r>
      <w:r>
        <w:t xml:space="preserve">– </w:t>
      </w:r>
      <w:r w:rsidRPr="00554371">
        <w:t xml:space="preserve">We </w:t>
      </w:r>
      <w:r>
        <w:t>have changed the way we document patient medication and ensure our medications are ordered, stored and prescribed in the most appropriate way.  Our nurses continue their learning @NPS Medication Safety courses.</w:t>
      </w:r>
    </w:p>
    <w:p w:rsidR="006D174A" w:rsidRDefault="006D174A" w:rsidP="00554371">
      <w:pPr>
        <w:pStyle w:val="ListParagraph"/>
        <w:numPr>
          <w:ilvl w:val="0"/>
          <w:numId w:val="16"/>
        </w:numPr>
        <w:ind w:left="-993" w:right="-1011"/>
        <w:jc w:val="both"/>
      </w:pPr>
      <w:r>
        <w:rPr>
          <w:b/>
        </w:rPr>
        <w:t xml:space="preserve">Patient Identification – </w:t>
      </w:r>
      <w:r>
        <w:t>Patient id bands are now compliant with national standards.  We use 3 patient identifiers to match patients with their intended procedure, any specimens and correspondence involved in their care.</w:t>
      </w:r>
    </w:p>
    <w:p w:rsidR="006D174A" w:rsidRDefault="006D174A" w:rsidP="00554371">
      <w:pPr>
        <w:pStyle w:val="ListParagraph"/>
        <w:numPr>
          <w:ilvl w:val="0"/>
          <w:numId w:val="16"/>
        </w:numPr>
        <w:ind w:left="-993" w:right="-1011"/>
        <w:jc w:val="both"/>
      </w:pPr>
      <w:r>
        <w:rPr>
          <w:b/>
        </w:rPr>
        <w:t>Clinical Handover</w:t>
      </w:r>
      <w:r>
        <w:rPr>
          <w:b/>
        </w:rPr>
        <w:softHyphen/>
        <w:t xml:space="preserve"> – </w:t>
      </w:r>
      <w:r>
        <w:t>At each stage of your care, we confirm your details, procedure and handover important clinical information.</w:t>
      </w:r>
    </w:p>
    <w:p w:rsidR="006D174A" w:rsidRDefault="006D174A" w:rsidP="00D35E5B">
      <w:pPr>
        <w:pStyle w:val="ListParagraph"/>
        <w:numPr>
          <w:ilvl w:val="0"/>
          <w:numId w:val="16"/>
        </w:numPr>
        <w:ind w:left="-993" w:right="-1011"/>
        <w:jc w:val="both"/>
      </w:pPr>
      <w:r>
        <w:rPr>
          <w:b/>
        </w:rPr>
        <w:t xml:space="preserve">Blood and Blood Products – </w:t>
      </w:r>
      <w:r>
        <w:t>We do not administer blood or blood products.</w:t>
      </w:r>
    </w:p>
    <w:p w:rsidR="006D174A" w:rsidRDefault="006D174A" w:rsidP="00D35E5B">
      <w:pPr>
        <w:pStyle w:val="ListParagraph"/>
        <w:numPr>
          <w:ilvl w:val="0"/>
          <w:numId w:val="16"/>
        </w:numPr>
        <w:ind w:left="-993" w:right="-1011"/>
        <w:jc w:val="both"/>
      </w:pPr>
      <w:r>
        <w:rPr>
          <w:b/>
        </w:rPr>
        <w:t>Preventing and Managing Pressure Injuries</w:t>
      </w:r>
      <w:r>
        <w:t xml:space="preserve"> – We educate our patients about pressure injuries even though they are in the day surgery center for only a few hours via the Patient Booklet.</w:t>
      </w:r>
    </w:p>
    <w:p w:rsidR="006D174A" w:rsidRDefault="006D174A" w:rsidP="00D35E5B">
      <w:pPr>
        <w:pStyle w:val="ListParagraph"/>
        <w:numPr>
          <w:ilvl w:val="0"/>
          <w:numId w:val="16"/>
        </w:numPr>
        <w:ind w:left="-993" w:right="-1011"/>
        <w:jc w:val="both"/>
      </w:pPr>
      <w:r>
        <w:rPr>
          <w:b/>
        </w:rPr>
        <w:t>Recognising and Responding to Clinical Deterioration</w:t>
      </w:r>
      <w:r>
        <w:t xml:space="preserve"> – Implemented the national colour-coded deteriorating patient recovery record.  We have a transfer process to ensure patients are transferred safely and quickly to the nearest tertiary hospital if necessary.  Maintain emergency equipment appropriate to our day facility.  We also monitor any patients with existing conditions more carefully.</w:t>
      </w:r>
    </w:p>
    <w:p w:rsidR="006D174A" w:rsidRDefault="006D174A" w:rsidP="00687F6D">
      <w:pPr>
        <w:pStyle w:val="ListParagraph"/>
        <w:numPr>
          <w:ilvl w:val="0"/>
          <w:numId w:val="16"/>
        </w:numPr>
        <w:ind w:left="-993" w:right="-1011"/>
        <w:jc w:val="both"/>
      </w:pPr>
      <w:r w:rsidRPr="00D35E5B">
        <w:rPr>
          <w:b/>
        </w:rPr>
        <w:t xml:space="preserve">Preventing Falls and Harm from Falls </w:t>
      </w:r>
      <w:r>
        <w:softHyphen/>
      </w:r>
      <w:r>
        <w:softHyphen/>
        <w:t>– Our falls risk process recognises patients that are at a higher risk of falls and harm from falling.  We ensure our patients at risk of falling are monitored more closely and we did not have any falls in the past year.</w:t>
      </w:r>
    </w:p>
    <w:p w:rsidR="006D174A" w:rsidRDefault="006D174A" w:rsidP="00916A75">
      <w:pPr>
        <w:pStyle w:val="Heading1"/>
        <w:ind w:left="-993"/>
        <w:rPr>
          <w:rStyle w:val="Heading1Char"/>
          <w:b/>
          <w:bCs/>
        </w:rPr>
      </w:pPr>
      <w:r>
        <w:rPr>
          <w:rStyle w:val="Heading1Char"/>
          <w:b/>
          <w:bCs/>
        </w:rPr>
        <w:t xml:space="preserve">Did you know…. </w:t>
      </w:r>
    </w:p>
    <w:p w:rsidR="006D174A" w:rsidRDefault="006D174A" w:rsidP="00916A75">
      <w:pPr>
        <w:pStyle w:val="Heading1"/>
        <w:ind w:left="-993"/>
      </w:pPr>
      <w:r>
        <w:rPr>
          <w:sz w:val="28"/>
          <w:szCs w:val="28"/>
        </w:rPr>
        <w:t>You can get more information from</w:t>
      </w:r>
      <w:r w:rsidRPr="00916A75">
        <w:rPr>
          <w:sz w:val="28"/>
          <w:szCs w:val="28"/>
        </w:rPr>
        <w:t xml:space="preserve"> our website:</w:t>
      </w:r>
      <w:r w:rsidRPr="00D143AF">
        <w:t xml:space="preserve"> </w:t>
      </w:r>
      <w:hyperlink r:id="rId12" w:history="1">
        <w:r w:rsidRPr="00D143AF">
          <w:rPr>
            <w:rStyle w:val="Hyperlink"/>
            <w:i/>
            <w:sz w:val="24"/>
            <w:szCs w:val="24"/>
          </w:rPr>
          <w:t>www.loganendoscopy.com.au</w:t>
        </w:r>
      </w:hyperlink>
    </w:p>
    <w:p w:rsidR="006D174A" w:rsidRDefault="006D174A" w:rsidP="00916A75">
      <w:pPr>
        <w:pStyle w:val="Heading1"/>
        <w:ind w:left="-993"/>
        <w:rPr>
          <w:sz w:val="24"/>
          <w:szCs w:val="24"/>
        </w:rPr>
      </w:pPr>
      <w:smartTag w:uri="urn:schemas-microsoft-com:office:smarttags" w:element="City">
        <w:smartTag w:uri="urn:schemas-microsoft-com:office:smarttags" w:element="place">
          <w:r>
            <w:rPr>
              <w:sz w:val="24"/>
              <w:szCs w:val="24"/>
            </w:rPr>
            <w:t>Logan</w:t>
          </w:r>
        </w:smartTag>
      </w:smartTag>
      <w:r>
        <w:rPr>
          <w:sz w:val="24"/>
          <w:szCs w:val="24"/>
        </w:rPr>
        <w:t xml:space="preserve"> Endoscopy has zero % Post-operative Nausea/vomiting Events and zero% Patient Adverse Events in our last QPS benchmarking Dec 2015 quarter period. </w:t>
      </w:r>
    </w:p>
    <w:p w:rsidR="006D174A" w:rsidRDefault="006D174A" w:rsidP="00916A75">
      <w:pPr>
        <w:pStyle w:val="Heading1"/>
        <w:ind w:left="-993"/>
        <w:rPr>
          <w:sz w:val="22"/>
        </w:rPr>
      </w:pPr>
      <w:r w:rsidRPr="00916A75">
        <w:rPr>
          <w:sz w:val="24"/>
          <w:szCs w:val="24"/>
        </w:rPr>
        <w:t xml:space="preserve">Our </w:t>
      </w:r>
      <w:r>
        <w:rPr>
          <w:sz w:val="22"/>
        </w:rPr>
        <w:t>Patient Waiting time is excellent ranking 2</w:t>
      </w:r>
      <w:r w:rsidRPr="009E7F93">
        <w:rPr>
          <w:sz w:val="22"/>
          <w:vertAlign w:val="superscript"/>
        </w:rPr>
        <w:t>nd</w:t>
      </w:r>
      <w:r>
        <w:rPr>
          <w:sz w:val="22"/>
        </w:rPr>
        <w:t>/12 in the 1</w:t>
      </w:r>
      <w:r w:rsidRPr="009E7F93">
        <w:rPr>
          <w:sz w:val="22"/>
          <w:vertAlign w:val="superscript"/>
        </w:rPr>
        <w:t>st</w:t>
      </w:r>
      <w:r>
        <w:rPr>
          <w:sz w:val="22"/>
        </w:rPr>
        <w:t xml:space="preserve"> Quartile.</w:t>
      </w:r>
    </w:p>
    <w:p w:rsidR="006D174A" w:rsidRDefault="006D174A" w:rsidP="00B649FB">
      <w:pPr>
        <w:pStyle w:val="Heading2"/>
        <w:pageBreakBefore/>
      </w:pPr>
      <w:r>
        <w:t xml:space="preserve">Indicator: 1.1.2.1b </w:t>
      </w:r>
      <w:r>
        <w:tab/>
        <w:t>Patient Waiting Time - Gastroenterology</w:t>
      </w:r>
    </w:p>
    <w:tbl>
      <w:tblPr>
        <w:tblW w:w="0" w:type="auto"/>
        <w:tblInd w:w="622" w:type="dxa"/>
        <w:tblLayout w:type="fixed"/>
        <w:tblCellMar>
          <w:top w:w="55" w:type="dxa"/>
          <w:left w:w="55" w:type="dxa"/>
          <w:bottom w:w="55" w:type="dxa"/>
          <w:right w:w="55" w:type="dxa"/>
        </w:tblCellMar>
        <w:tblLook w:val="0000" w:firstRow="0" w:lastRow="0" w:firstColumn="0" w:lastColumn="0" w:noHBand="0" w:noVBand="0"/>
      </w:tblPr>
      <w:tblGrid>
        <w:gridCol w:w="3401"/>
        <w:gridCol w:w="1700"/>
        <w:gridCol w:w="1701"/>
        <w:gridCol w:w="1702"/>
      </w:tblGrid>
      <w:tr w:rsidR="006D174A" w:rsidTr="00734E49">
        <w:tc>
          <w:tcPr>
            <w:tcW w:w="3401" w:type="dxa"/>
            <w:tcBorders>
              <w:top w:val="single" w:sz="2" w:space="0" w:color="000000"/>
              <w:left w:val="single" w:sz="2" w:space="0" w:color="000000"/>
              <w:bottom w:val="single" w:sz="2" w:space="0" w:color="000000"/>
            </w:tcBorders>
          </w:tcPr>
          <w:p w:rsidR="006D174A" w:rsidRDefault="006D174A" w:rsidP="00734E49"/>
        </w:tc>
        <w:tc>
          <w:tcPr>
            <w:tcW w:w="1700" w:type="dxa"/>
            <w:tcBorders>
              <w:top w:val="single" w:sz="2" w:space="0" w:color="000000"/>
              <w:left w:val="single" w:sz="2" w:space="0" w:color="000000"/>
              <w:bottom w:val="single" w:sz="2" w:space="0" w:color="000000"/>
            </w:tcBorders>
          </w:tcPr>
          <w:p w:rsidR="006D174A" w:rsidRDefault="006D174A" w:rsidP="00734E49">
            <w:pPr>
              <w:pStyle w:val="TableContents"/>
              <w:rPr>
                <w:b/>
                <w:bCs/>
                <w:sz w:val="22"/>
              </w:rPr>
            </w:pPr>
            <w:r>
              <w:rPr>
                <w:b/>
                <w:bCs/>
                <w:sz w:val="22"/>
              </w:rPr>
              <w:t>Minimum</w:t>
            </w:r>
          </w:p>
        </w:tc>
        <w:tc>
          <w:tcPr>
            <w:tcW w:w="1701" w:type="dxa"/>
            <w:tcBorders>
              <w:top w:val="single" w:sz="2" w:space="0" w:color="000000"/>
              <w:left w:val="single" w:sz="2" w:space="0" w:color="000000"/>
              <w:bottom w:val="single" w:sz="2" w:space="0" w:color="000000"/>
            </w:tcBorders>
          </w:tcPr>
          <w:p w:rsidR="006D174A" w:rsidRDefault="006D174A" w:rsidP="00734E49">
            <w:pPr>
              <w:pStyle w:val="TableContents"/>
              <w:rPr>
                <w:b/>
                <w:bCs/>
                <w:sz w:val="22"/>
              </w:rPr>
            </w:pPr>
            <w:r>
              <w:rPr>
                <w:b/>
                <w:bCs/>
                <w:sz w:val="22"/>
              </w:rPr>
              <w:t>Mean</w:t>
            </w:r>
          </w:p>
        </w:tc>
        <w:tc>
          <w:tcPr>
            <w:tcW w:w="1702" w:type="dxa"/>
            <w:tcBorders>
              <w:top w:val="single" w:sz="2" w:space="0" w:color="000000"/>
              <w:left w:val="single" w:sz="2" w:space="0" w:color="000000"/>
              <w:bottom w:val="single" w:sz="2" w:space="0" w:color="000000"/>
              <w:right w:val="single" w:sz="2" w:space="0" w:color="000000"/>
            </w:tcBorders>
          </w:tcPr>
          <w:p w:rsidR="006D174A" w:rsidRDefault="006D174A" w:rsidP="00734E49">
            <w:pPr>
              <w:pStyle w:val="TableContents"/>
            </w:pPr>
            <w:r>
              <w:rPr>
                <w:b/>
                <w:bCs/>
                <w:sz w:val="22"/>
              </w:rPr>
              <w:t>Maximum</w:t>
            </w:r>
          </w:p>
        </w:tc>
      </w:tr>
      <w:tr w:rsidR="006D174A" w:rsidTr="00734E49">
        <w:tc>
          <w:tcPr>
            <w:tcW w:w="3401" w:type="dxa"/>
            <w:tcBorders>
              <w:left w:val="single" w:sz="2" w:space="0" w:color="000000"/>
              <w:bottom w:val="single" w:sz="2" w:space="0" w:color="000000"/>
            </w:tcBorders>
          </w:tcPr>
          <w:p w:rsidR="006D174A" w:rsidRDefault="006D174A" w:rsidP="00734E49">
            <w:pPr>
              <w:pStyle w:val="TableContents"/>
              <w:rPr>
                <w:sz w:val="22"/>
              </w:rPr>
            </w:pPr>
            <w:r>
              <w:rPr>
                <w:sz w:val="22"/>
              </w:rPr>
              <w:t>All Day Surgeries</w:t>
            </w:r>
          </w:p>
        </w:tc>
        <w:tc>
          <w:tcPr>
            <w:tcW w:w="1700" w:type="dxa"/>
            <w:tcBorders>
              <w:left w:val="single" w:sz="2" w:space="0" w:color="000000"/>
              <w:bottom w:val="single" w:sz="2" w:space="0" w:color="000000"/>
            </w:tcBorders>
          </w:tcPr>
          <w:p w:rsidR="006D174A" w:rsidRDefault="006D174A" w:rsidP="00734E49">
            <w:pPr>
              <w:pStyle w:val="TableContents"/>
              <w:rPr>
                <w:sz w:val="22"/>
              </w:rPr>
            </w:pPr>
            <w:r>
              <w:rPr>
                <w:sz w:val="22"/>
              </w:rPr>
              <w:t>15.40</w:t>
            </w:r>
          </w:p>
        </w:tc>
        <w:tc>
          <w:tcPr>
            <w:tcW w:w="1701" w:type="dxa"/>
            <w:tcBorders>
              <w:left w:val="single" w:sz="2" w:space="0" w:color="000000"/>
              <w:bottom w:val="single" w:sz="2" w:space="0" w:color="000000"/>
            </w:tcBorders>
          </w:tcPr>
          <w:p w:rsidR="006D174A" w:rsidRDefault="006D174A" w:rsidP="00734E49">
            <w:pPr>
              <w:pStyle w:val="TableContents"/>
              <w:rPr>
                <w:sz w:val="22"/>
              </w:rPr>
            </w:pPr>
            <w:r>
              <w:rPr>
                <w:sz w:val="22"/>
              </w:rPr>
              <w:t>57.02</w:t>
            </w:r>
          </w:p>
        </w:tc>
        <w:tc>
          <w:tcPr>
            <w:tcW w:w="1702" w:type="dxa"/>
            <w:tcBorders>
              <w:left w:val="single" w:sz="2" w:space="0" w:color="000000"/>
              <w:bottom w:val="single" w:sz="2" w:space="0" w:color="000000"/>
              <w:right w:val="single" w:sz="2" w:space="0" w:color="000000"/>
            </w:tcBorders>
          </w:tcPr>
          <w:p w:rsidR="006D174A" w:rsidRDefault="006D174A" w:rsidP="00734E49">
            <w:pPr>
              <w:pStyle w:val="TableContents"/>
            </w:pPr>
            <w:r>
              <w:rPr>
                <w:sz w:val="22"/>
              </w:rPr>
              <w:t>92.33</w:t>
            </w:r>
          </w:p>
        </w:tc>
      </w:tr>
      <w:tr w:rsidR="006D174A" w:rsidTr="00734E49">
        <w:tc>
          <w:tcPr>
            <w:tcW w:w="3401" w:type="dxa"/>
            <w:tcBorders>
              <w:left w:val="single" w:sz="2" w:space="0" w:color="000000"/>
              <w:bottom w:val="single" w:sz="2" w:space="0" w:color="000000"/>
            </w:tcBorders>
          </w:tcPr>
          <w:p w:rsidR="006D174A" w:rsidRDefault="006D174A" w:rsidP="00734E49">
            <w:pPr>
              <w:pStyle w:val="TableContents"/>
              <w:rPr>
                <w:sz w:val="22"/>
              </w:rPr>
            </w:pPr>
            <w:r>
              <w:rPr>
                <w:sz w:val="22"/>
              </w:rPr>
              <w:t>All General</w:t>
            </w:r>
          </w:p>
        </w:tc>
        <w:tc>
          <w:tcPr>
            <w:tcW w:w="1700" w:type="dxa"/>
            <w:tcBorders>
              <w:left w:val="single" w:sz="2" w:space="0" w:color="000000"/>
              <w:bottom w:val="single" w:sz="2" w:space="0" w:color="000000"/>
            </w:tcBorders>
          </w:tcPr>
          <w:p w:rsidR="006D174A" w:rsidRDefault="006D174A" w:rsidP="00734E49">
            <w:pPr>
              <w:pStyle w:val="TableContents"/>
              <w:rPr>
                <w:sz w:val="22"/>
              </w:rPr>
            </w:pPr>
            <w:r>
              <w:rPr>
                <w:sz w:val="22"/>
              </w:rPr>
              <w:t>36.16</w:t>
            </w:r>
          </w:p>
        </w:tc>
        <w:tc>
          <w:tcPr>
            <w:tcW w:w="1701" w:type="dxa"/>
            <w:tcBorders>
              <w:left w:val="single" w:sz="2" w:space="0" w:color="000000"/>
              <w:bottom w:val="single" w:sz="2" w:space="0" w:color="000000"/>
            </w:tcBorders>
          </w:tcPr>
          <w:p w:rsidR="006D174A" w:rsidRDefault="006D174A" w:rsidP="00734E49">
            <w:pPr>
              <w:pStyle w:val="TableContents"/>
              <w:rPr>
                <w:sz w:val="22"/>
              </w:rPr>
            </w:pPr>
            <w:r>
              <w:rPr>
                <w:sz w:val="22"/>
              </w:rPr>
              <w:t>58.37</w:t>
            </w:r>
          </w:p>
        </w:tc>
        <w:tc>
          <w:tcPr>
            <w:tcW w:w="1702" w:type="dxa"/>
            <w:tcBorders>
              <w:left w:val="single" w:sz="2" w:space="0" w:color="000000"/>
              <w:bottom w:val="single" w:sz="2" w:space="0" w:color="000000"/>
              <w:right w:val="single" w:sz="2" w:space="0" w:color="000000"/>
            </w:tcBorders>
          </w:tcPr>
          <w:p w:rsidR="006D174A" w:rsidRDefault="006D174A" w:rsidP="00734E49">
            <w:pPr>
              <w:pStyle w:val="TableContents"/>
            </w:pPr>
            <w:r>
              <w:rPr>
                <w:sz w:val="22"/>
              </w:rPr>
              <w:t>92.33</w:t>
            </w:r>
          </w:p>
        </w:tc>
      </w:tr>
      <w:tr w:rsidR="006D174A" w:rsidTr="00734E49">
        <w:tc>
          <w:tcPr>
            <w:tcW w:w="3401" w:type="dxa"/>
            <w:tcBorders>
              <w:left w:val="single" w:sz="2" w:space="0" w:color="000000"/>
              <w:bottom w:val="single" w:sz="2" w:space="0" w:color="000000"/>
            </w:tcBorders>
          </w:tcPr>
          <w:p w:rsidR="006D174A" w:rsidRDefault="006D174A" w:rsidP="00734E49">
            <w:pPr>
              <w:pStyle w:val="TableContents"/>
              <w:rPr>
                <w:sz w:val="22"/>
              </w:rPr>
            </w:pPr>
            <w:r>
              <w:rPr>
                <w:sz w:val="22"/>
              </w:rPr>
              <w:t>All Gastroenterology</w:t>
            </w:r>
          </w:p>
        </w:tc>
        <w:tc>
          <w:tcPr>
            <w:tcW w:w="1700" w:type="dxa"/>
            <w:tcBorders>
              <w:left w:val="single" w:sz="2" w:space="0" w:color="000000"/>
              <w:bottom w:val="single" w:sz="2" w:space="0" w:color="000000"/>
            </w:tcBorders>
          </w:tcPr>
          <w:p w:rsidR="006D174A" w:rsidRDefault="006D174A" w:rsidP="00734E49">
            <w:pPr>
              <w:pStyle w:val="TableContents"/>
              <w:rPr>
                <w:sz w:val="22"/>
              </w:rPr>
            </w:pPr>
            <w:r>
              <w:rPr>
                <w:sz w:val="22"/>
              </w:rPr>
              <w:t>15.40</w:t>
            </w:r>
          </w:p>
        </w:tc>
        <w:tc>
          <w:tcPr>
            <w:tcW w:w="1701" w:type="dxa"/>
            <w:tcBorders>
              <w:left w:val="single" w:sz="2" w:space="0" w:color="000000"/>
              <w:bottom w:val="single" w:sz="2" w:space="0" w:color="000000"/>
            </w:tcBorders>
          </w:tcPr>
          <w:p w:rsidR="006D174A" w:rsidRDefault="006D174A" w:rsidP="00734E49">
            <w:pPr>
              <w:pStyle w:val="TableContents"/>
              <w:rPr>
                <w:sz w:val="22"/>
              </w:rPr>
            </w:pPr>
            <w:r>
              <w:rPr>
                <w:sz w:val="22"/>
              </w:rPr>
              <w:t>57.02</w:t>
            </w:r>
          </w:p>
        </w:tc>
        <w:tc>
          <w:tcPr>
            <w:tcW w:w="1702" w:type="dxa"/>
            <w:tcBorders>
              <w:left w:val="single" w:sz="2" w:space="0" w:color="000000"/>
              <w:bottom w:val="single" w:sz="2" w:space="0" w:color="000000"/>
              <w:right w:val="single" w:sz="2" w:space="0" w:color="000000"/>
            </w:tcBorders>
          </w:tcPr>
          <w:p w:rsidR="006D174A" w:rsidRDefault="006D174A" w:rsidP="00734E49">
            <w:pPr>
              <w:pStyle w:val="TableContents"/>
            </w:pPr>
            <w:r>
              <w:rPr>
                <w:sz w:val="22"/>
              </w:rPr>
              <w:t>92.33</w:t>
            </w:r>
          </w:p>
        </w:tc>
      </w:tr>
      <w:tr w:rsidR="006D174A" w:rsidTr="00734E49">
        <w:tc>
          <w:tcPr>
            <w:tcW w:w="3401" w:type="dxa"/>
            <w:tcBorders>
              <w:left w:val="single" w:sz="2" w:space="0" w:color="000000"/>
              <w:bottom w:val="single" w:sz="2" w:space="0" w:color="000000"/>
            </w:tcBorders>
          </w:tcPr>
          <w:p w:rsidR="006D174A" w:rsidRDefault="006D174A" w:rsidP="00734E49">
            <w:pPr>
              <w:pStyle w:val="TableContents"/>
              <w:rPr>
                <w:sz w:val="22"/>
              </w:rPr>
            </w:pPr>
            <w:r>
              <w:rPr>
                <w:sz w:val="22"/>
              </w:rPr>
              <w:t>All Ophthalmology</w:t>
            </w:r>
          </w:p>
        </w:tc>
        <w:tc>
          <w:tcPr>
            <w:tcW w:w="1700" w:type="dxa"/>
            <w:tcBorders>
              <w:left w:val="single" w:sz="2" w:space="0" w:color="000000"/>
              <w:bottom w:val="single" w:sz="2" w:space="0" w:color="000000"/>
            </w:tcBorders>
          </w:tcPr>
          <w:p w:rsidR="006D174A" w:rsidRDefault="006D174A" w:rsidP="00734E49">
            <w:pPr>
              <w:pStyle w:val="TableContents"/>
              <w:rPr>
                <w:sz w:val="22"/>
              </w:rPr>
            </w:pPr>
            <w:r>
              <w:rPr>
                <w:sz w:val="22"/>
              </w:rPr>
              <w:t>87.51</w:t>
            </w:r>
          </w:p>
        </w:tc>
        <w:tc>
          <w:tcPr>
            <w:tcW w:w="1701" w:type="dxa"/>
            <w:tcBorders>
              <w:left w:val="single" w:sz="2" w:space="0" w:color="000000"/>
              <w:bottom w:val="single" w:sz="2" w:space="0" w:color="000000"/>
            </w:tcBorders>
          </w:tcPr>
          <w:p w:rsidR="006D174A" w:rsidRDefault="006D174A" w:rsidP="00734E49">
            <w:pPr>
              <w:pStyle w:val="TableContents"/>
              <w:rPr>
                <w:sz w:val="22"/>
              </w:rPr>
            </w:pPr>
            <w:r>
              <w:rPr>
                <w:sz w:val="22"/>
              </w:rPr>
              <w:t>88.11</w:t>
            </w:r>
          </w:p>
        </w:tc>
        <w:tc>
          <w:tcPr>
            <w:tcW w:w="1702" w:type="dxa"/>
            <w:tcBorders>
              <w:left w:val="single" w:sz="2" w:space="0" w:color="000000"/>
              <w:bottom w:val="single" w:sz="2" w:space="0" w:color="000000"/>
              <w:right w:val="single" w:sz="2" w:space="0" w:color="000000"/>
            </w:tcBorders>
          </w:tcPr>
          <w:p w:rsidR="006D174A" w:rsidRDefault="006D174A" w:rsidP="00734E49">
            <w:pPr>
              <w:pStyle w:val="TableContents"/>
            </w:pPr>
            <w:r>
              <w:rPr>
                <w:sz w:val="22"/>
              </w:rPr>
              <w:t>92.33</w:t>
            </w:r>
          </w:p>
        </w:tc>
      </w:tr>
    </w:tbl>
    <w:p w:rsidR="006D174A" w:rsidRDefault="006D174A" w:rsidP="00B649FB">
      <w:pPr>
        <w:pStyle w:val="BodyText"/>
      </w:pPr>
    </w:p>
    <w:p w:rsidR="006D174A" w:rsidRPr="00B649FB" w:rsidRDefault="006B1353" w:rsidP="00B649FB">
      <w:r>
        <w:rPr>
          <w:noProof/>
          <w:lang w:val="en-AU" w:eastAsia="zh-CN"/>
        </w:rPr>
        <w:drawing>
          <wp:inline distT="0" distB="0" distL="0" distR="0">
            <wp:extent cx="6096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00"/>
                    </a:xfrm>
                    <a:prstGeom prst="rect">
                      <a:avLst/>
                    </a:prstGeom>
                    <a:solidFill>
                      <a:srgbClr val="FFFFFF"/>
                    </a:solidFill>
                    <a:ln>
                      <a:noFill/>
                    </a:ln>
                  </pic:spPr>
                </pic:pic>
              </a:graphicData>
            </a:graphic>
          </wp:inline>
        </w:drawing>
      </w:r>
    </w:p>
    <w:p w:rsidR="006D174A" w:rsidRPr="00916A75" w:rsidRDefault="006D174A" w:rsidP="00916A75">
      <w:pPr>
        <w:pStyle w:val="Heading1"/>
        <w:ind w:left="-993"/>
        <w:rPr>
          <w:rStyle w:val="Heading1Char"/>
          <w:b/>
          <w:bCs/>
          <w:i/>
          <w:sz w:val="24"/>
          <w:szCs w:val="24"/>
        </w:rPr>
      </w:pPr>
      <w:r w:rsidRPr="00916A75">
        <w:rPr>
          <w:sz w:val="28"/>
          <w:szCs w:val="28"/>
        </w:rPr>
        <w:t>We’re celebrating 2</w:t>
      </w:r>
      <w:r>
        <w:rPr>
          <w:sz w:val="28"/>
          <w:szCs w:val="28"/>
        </w:rPr>
        <w:t>2</w:t>
      </w:r>
      <w:r w:rsidRPr="00916A75">
        <w:rPr>
          <w:sz w:val="28"/>
          <w:szCs w:val="28"/>
        </w:rPr>
        <w:t xml:space="preserve"> years of service this year.</w:t>
      </w:r>
    </w:p>
    <w:p w:rsidR="006D174A" w:rsidRPr="00916A75" w:rsidRDefault="006D174A" w:rsidP="002269D9">
      <w:pPr>
        <w:pStyle w:val="Heading1"/>
        <w:ind w:left="-993"/>
        <w:rPr>
          <w:rStyle w:val="Heading1Char"/>
          <w:b/>
          <w:bCs/>
          <w:sz w:val="24"/>
          <w:szCs w:val="24"/>
        </w:rPr>
      </w:pPr>
      <w:r w:rsidRPr="00916A75">
        <w:rPr>
          <w:rStyle w:val="Heading1Char"/>
          <w:b/>
          <w:bCs/>
          <w:sz w:val="24"/>
          <w:szCs w:val="24"/>
        </w:rPr>
        <w:t>Would you like to talk at a staff meeting about your care?</w:t>
      </w:r>
    </w:p>
    <w:p w:rsidR="006D174A" w:rsidRDefault="006B1353" w:rsidP="002269D9">
      <w:pPr>
        <w:ind w:left="-993" w:right="-1011"/>
        <w:jc w:val="both"/>
      </w:pPr>
      <w:r>
        <w:rPr>
          <w:noProof/>
          <w:lang w:val="en-AU" w:eastAsia="zh-CN"/>
        </w:rPr>
        <mc:AlternateContent>
          <mc:Choice Requires="wps">
            <w:drawing>
              <wp:anchor distT="365760" distB="365760" distL="114300" distR="114300" simplePos="0" relativeHeight="251656704" behindDoc="0" locked="0" layoutInCell="1" allowOverlap="1">
                <wp:simplePos x="0" y="0"/>
                <wp:positionH relativeFrom="margin">
                  <wp:align>left</wp:align>
                </wp:positionH>
                <wp:positionV relativeFrom="margin">
                  <wp:align>bottom</wp:align>
                </wp:positionV>
                <wp:extent cx="5988050" cy="466090"/>
                <wp:effectExtent l="0" t="0" r="12700" b="1016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047" w:type="pct"/>
                              <w:tblCellMar>
                                <w:left w:w="0" w:type="dxa"/>
                                <w:right w:w="0" w:type="dxa"/>
                              </w:tblCellMar>
                              <w:tblLook w:val="00A0" w:firstRow="1" w:lastRow="0" w:firstColumn="1" w:lastColumn="0" w:noHBand="0" w:noVBand="0"/>
                            </w:tblPr>
                            <w:tblGrid>
                              <w:gridCol w:w="3543"/>
                              <w:gridCol w:w="21"/>
                              <w:gridCol w:w="7859"/>
                            </w:tblGrid>
                            <w:tr w:rsidR="006D174A" w:rsidRPr="005C116D" w:rsidTr="00295336">
                              <w:tc>
                                <w:tcPr>
                                  <w:tcW w:w="1551" w:type="pct"/>
                                  <w:vAlign w:val="center"/>
                                </w:tcPr>
                                <w:p w:rsidR="006D174A" w:rsidRPr="00916A75" w:rsidRDefault="006D174A" w:rsidP="00916A75">
                                  <w:pPr>
                                    <w:pStyle w:val="Company"/>
                                  </w:pPr>
                                  <w:smartTag w:uri="urn:schemas-microsoft-com:office:smarttags" w:element="City">
                                    <w:smartTag w:uri="urn:schemas-microsoft-com:office:smarttags" w:element="place">
                                      <w:r w:rsidRPr="005C116D">
                                        <w:t>Logan</w:t>
                                      </w:r>
                                    </w:smartTag>
                                  </w:smartTag>
                                  <w:r w:rsidRPr="005C116D">
                                    <w:t xml:space="preserve"> Endoscopy Service</w:t>
                                  </w:r>
                                  <w:r>
                                    <w:t>s</w:t>
                                  </w:r>
                                </w:p>
                              </w:tc>
                              <w:tc>
                                <w:tcPr>
                                  <w:tcW w:w="9" w:type="pct"/>
                                </w:tcPr>
                                <w:p w:rsidR="006D174A" w:rsidRPr="005C116D" w:rsidRDefault="006D174A"/>
                              </w:tc>
                              <w:tc>
                                <w:tcPr>
                                  <w:tcW w:w="3440" w:type="pct"/>
                                  <w:vAlign w:val="center"/>
                                </w:tcPr>
                                <w:p w:rsidR="006D174A" w:rsidRPr="005C116D" w:rsidRDefault="006D174A">
                                  <w:pPr>
                                    <w:pStyle w:val="Footer"/>
                                  </w:pPr>
                                  <w:r w:rsidRPr="005C116D">
                                    <w:t>Unit 3/3276 Mt Lindsay Highway QLD 4118</w:t>
                                  </w:r>
                                  <w:r>
                                    <w:t xml:space="preserve">.        </w:t>
                                  </w:r>
                                  <w:r w:rsidRPr="005C116D">
                                    <w:t>07 3809 2893 </w:t>
                                  </w:r>
                                  <w:r>
                                    <w:t>or 0481 394 818</w:t>
                                  </w:r>
                                </w:p>
                                <w:p w:rsidR="006D174A" w:rsidRPr="005C116D" w:rsidRDefault="006D174A" w:rsidP="00295336">
                                  <w:pPr>
                                    <w:pStyle w:val="Footer"/>
                                  </w:pPr>
                                  <w:r w:rsidRPr="005C116D">
                                    <w:t>| office@loganendoscopy.com.au | www.loganendoscopy.com.au</w:t>
                                  </w:r>
                                </w:p>
                              </w:tc>
                            </w:tr>
                          </w:tbl>
                          <w:p w:rsidR="006D174A" w:rsidRDefault="006D174A">
                            <w:pPr>
                              <w:pStyle w:val="NoSpacing"/>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0;width:471.5pt;height:36.7pt;z-index:251656704;visibility:visible;mso-wrap-style:square;mso-width-percent:0;mso-height-percent:0;mso-wrap-distance-left:9pt;mso-wrap-distance-top:28.8pt;mso-wrap-distance-right:9pt;mso-wrap-distance-bottom:28.8pt;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" filled="f" stroked="f" strokeweight=".5pt">
                <v:path arrowok="t"/>
                <v:textbox inset="0,0,0,0">
                  <w:txbxContent>
                    <w:tbl>
                      <w:tblPr>
                        <w:tblW w:w="6047" w:type="pct"/>
                        <w:tblCellMar>
                          <w:left w:w="0" w:type="dxa"/>
                          <w:right w:w="0" w:type="dxa"/>
                        </w:tblCellMar>
                        <w:tblLook w:val="00A0" w:firstRow="1" w:lastRow="0" w:firstColumn="1" w:lastColumn="0" w:noHBand="0" w:noVBand="0"/>
                      </w:tblPr>
                      <w:tblGrid>
                        <w:gridCol w:w="3543"/>
                        <w:gridCol w:w="21"/>
                        <w:gridCol w:w="7859"/>
                      </w:tblGrid>
                      <w:tr w:rsidR="006D174A" w:rsidRPr="005C116D" w:rsidTr="00295336">
                        <w:tc>
                          <w:tcPr>
                            <w:tcW w:w="1551" w:type="pct"/>
                            <w:vAlign w:val="center"/>
                          </w:tcPr>
                          <w:p w:rsidR="006D174A" w:rsidRPr="00916A75" w:rsidRDefault="006D174A" w:rsidP="00916A75">
                            <w:pPr>
                              <w:pStyle w:val="Company"/>
                            </w:pPr>
                            <w:smartTag w:uri="urn:schemas-microsoft-com:office:smarttags" w:element="City">
                              <w:smartTag w:uri="urn:schemas-microsoft-com:office:smarttags" w:element="place">
                                <w:r w:rsidRPr="005C116D">
                                  <w:t>Logan</w:t>
                                </w:r>
                              </w:smartTag>
                            </w:smartTag>
                            <w:r w:rsidRPr="005C116D">
                              <w:t xml:space="preserve"> Endoscopy Service</w:t>
                            </w:r>
                            <w:r>
                              <w:t>s</w:t>
                            </w:r>
                          </w:p>
                        </w:tc>
                        <w:tc>
                          <w:tcPr>
                            <w:tcW w:w="9" w:type="pct"/>
                          </w:tcPr>
                          <w:p w:rsidR="006D174A" w:rsidRPr="005C116D" w:rsidRDefault="006D174A"/>
                        </w:tc>
                        <w:tc>
                          <w:tcPr>
                            <w:tcW w:w="3440" w:type="pct"/>
                            <w:vAlign w:val="center"/>
                          </w:tcPr>
                          <w:p w:rsidR="006D174A" w:rsidRPr="005C116D" w:rsidRDefault="006D174A">
                            <w:pPr>
                              <w:pStyle w:val="Footer"/>
                            </w:pPr>
                            <w:r w:rsidRPr="005C116D">
                              <w:t>Unit 3/3276 Mt Lindsay Highway QLD 4118</w:t>
                            </w:r>
                            <w:r>
                              <w:t xml:space="preserve">.        </w:t>
                            </w:r>
                            <w:r w:rsidRPr="005C116D">
                              <w:t>07 3809 2893 </w:t>
                            </w:r>
                            <w:r>
                              <w:t>or 0481 394 818</w:t>
                            </w:r>
                          </w:p>
                          <w:p w:rsidR="006D174A" w:rsidRPr="005C116D" w:rsidRDefault="006D174A" w:rsidP="00295336">
                            <w:pPr>
                              <w:pStyle w:val="Footer"/>
                            </w:pPr>
                            <w:r w:rsidRPr="005C116D">
                              <w:t>| office@loganendoscopy.com.au | www.loganendoscopy.com.au</w:t>
                            </w:r>
                          </w:p>
                        </w:tc>
                      </w:tr>
                    </w:tbl>
                    <w:p w:rsidR="006D174A" w:rsidRDefault="006D174A">
                      <w:pPr>
                        <w:pStyle w:val="NoSpacing"/>
                        <w:spacing w:line="14" w:lineRule="exact"/>
                      </w:pPr>
                    </w:p>
                  </w:txbxContent>
                </v:textbox>
                <w10:wrap type="topAndBottom" anchorx="margin" anchory="margin"/>
              </v:shape>
            </w:pict>
          </mc:Fallback>
        </mc:AlternateContent>
      </w:r>
      <w:r w:rsidR="006D174A">
        <w:t xml:space="preserve">Is there something you would like to teach our staff about your care that you liked?  Or how you can become involved in improving our service?  Are you interested in being involved in Partnering as consumers/carers? Please email us on: </w:t>
      </w:r>
      <w:hyperlink r:id="rId14" w:history="1">
        <w:r w:rsidR="006D174A" w:rsidRPr="00A5233A">
          <w:rPr>
            <w:rStyle w:val="Hyperlink"/>
          </w:rPr>
          <w:t>office@loganendoscopy.com.au</w:t>
        </w:r>
      </w:hyperlink>
      <w:r w:rsidR="006D174A">
        <w:t>, or speak directly to one of the nursing staff.</w:t>
      </w:r>
    </w:p>
    <w:sectPr w:rsidR="006D174A" w:rsidSect="004A55BB">
      <w:pgSz w:w="11907" w:h="16839" w:code="9"/>
      <w:pgMar w:top="1440" w:right="2160" w:bottom="108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62" w:rsidRDefault="007E4C62">
      <w:pPr>
        <w:spacing w:after="0" w:line="240" w:lineRule="auto"/>
      </w:pPr>
      <w:r>
        <w:separator/>
      </w:r>
    </w:p>
  </w:endnote>
  <w:endnote w:type="continuationSeparator" w:id="0">
    <w:p w:rsidR="007E4C62" w:rsidRDefault="007E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62" w:rsidRDefault="007E4C62">
      <w:pPr>
        <w:spacing w:after="0" w:line="240" w:lineRule="auto"/>
      </w:pPr>
      <w:r>
        <w:separator/>
      </w:r>
    </w:p>
  </w:footnote>
  <w:footnote w:type="continuationSeparator" w:id="0">
    <w:p w:rsidR="007E4C62" w:rsidRDefault="007E4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sz w:val="16"/>
      </w:rPr>
    </w:lvl>
  </w:abstractNum>
  <w:abstractNum w:abstractNumId="1" w15:restartNumberingAfterBreak="0">
    <w:nsid w:val="2F806D7D"/>
    <w:multiLevelType w:val="hybridMultilevel"/>
    <w:tmpl w:val="D6A2B91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7101B14"/>
    <w:multiLevelType w:val="hybridMultilevel"/>
    <w:tmpl w:val="C8BEA5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6453E73"/>
    <w:multiLevelType w:val="hybridMultilevel"/>
    <w:tmpl w:val="C8BEA5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EA"/>
    <w:rsid w:val="00191AA5"/>
    <w:rsid w:val="002269D9"/>
    <w:rsid w:val="002368B4"/>
    <w:rsid w:val="00290F10"/>
    <w:rsid w:val="00295336"/>
    <w:rsid w:val="002B1716"/>
    <w:rsid w:val="00322D6B"/>
    <w:rsid w:val="00382FF6"/>
    <w:rsid w:val="003E7B4E"/>
    <w:rsid w:val="0040262A"/>
    <w:rsid w:val="0041515A"/>
    <w:rsid w:val="00460EE0"/>
    <w:rsid w:val="004A55BB"/>
    <w:rsid w:val="004F6E6B"/>
    <w:rsid w:val="00554371"/>
    <w:rsid w:val="005B049D"/>
    <w:rsid w:val="005C116D"/>
    <w:rsid w:val="00672334"/>
    <w:rsid w:val="00687F6D"/>
    <w:rsid w:val="006B1353"/>
    <w:rsid w:val="006D174A"/>
    <w:rsid w:val="006D5C32"/>
    <w:rsid w:val="00734E49"/>
    <w:rsid w:val="007E4C62"/>
    <w:rsid w:val="0088347B"/>
    <w:rsid w:val="008C64F7"/>
    <w:rsid w:val="00916A75"/>
    <w:rsid w:val="009E7F93"/>
    <w:rsid w:val="00A5233A"/>
    <w:rsid w:val="00A57DC6"/>
    <w:rsid w:val="00A77BC3"/>
    <w:rsid w:val="00AA31C6"/>
    <w:rsid w:val="00B57D71"/>
    <w:rsid w:val="00B61AEB"/>
    <w:rsid w:val="00B649FB"/>
    <w:rsid w:val="00BD3387"/>
    <w:rsid w:val="00BF0A38"/>
    <w:rsid w:val="00BF19EA"/>
    <w:rsid w:val="00C722D0"/>
    <w:rsid w:val="00C73FBF"/>
    <w:rsid w:val="00C85853"/>
    <w:rsid w:val="00CA6666"/>
    <w:rsid w:val="00CC023D"/>
    <w:rsid w:val="00CD75F1"/>
    <w:rsid w:val="00D07BED"/>
    <w:rsid w:val="00D143AF"/>
    <w:rsid w:val="00D35E5B"/>
    <w:rsid w:val="00D438DA"/>
    <w:rsid w:val="00D4784A"/>
    <w:rsid w:val="00D54A7F"/>
    <w:rsid w:val="00D665DB"/>
    <w:rsid w:val="00DB0CB8"/>
    <w:rsid w:val="00E57494"/>
    <w:rsid w:val="00EA091F"/>
    <w:rsid w:val="00F16330"/>
    <w:rsid w:val="00F278B2"/>
    <w:rsid w:val="00F352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B7525F5-5F04-4EC0-B9E9-CDF4EF8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F6"/>
    <w:pPr>
      <w:spacing w:after="200" w:line="288" w:lineRule="auto"/>
    </w:pPr>
    <w:rPr>
      <w:color w:val="4D4436"/>
      <w:sz w:val="20"/>
      <w:szCs w:val="20"/>
      <w:lang w:val="en-US" w:eastAsia="ja-JP"/>
    </w:rPr>
  </w:style>
  <w:style w:type="paragraph" w:styleId="Heading1">
    <w:name w:val="heading 1"/>
    <w:basedOn w:val="Normal"/>
    <w:next w:val="Normal"/>
    <w:link w:val="Heading1Char"/>
    <w:uiPriority w:val="99"/>
    <w:qFormat/>
    <w:rsid w:val="00382FF6"/>
    <w:pPr>
      <w:keepNext/>
      <w:keepLines/>
      <w:spacing w:after="120" w:line="216" w:lineRule="auto"/>
      <w:outlineLvl w:val="0"/>
    </w:pPr>
    <w:rPr>
      <w:rFonts w:ascii="Calibri" w:eastAsia="SimSun" w:hAnsi="Calibri"/>
      <w:b/>
      <w:bCs/>
      <w:color w:val="352F25"/>
      <w:sz w:val="32"/>
    </w:rPr>
  </w:style>
  <w:style w:type="paragraph" w:styleId="Heading2">
    <w:name w:val="heading 2"/>
    <w:basedOn w:val="Normal"/>
    <w:next w:val="Normal"/>
    <w:link w:val="Heading2Char"/>
    <w:uiPriority w:val="99"/>
    <w:qFormat/>
    <w:locked/>
    <w:rsid w:val="00B649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FF6"/>
    <w:rPr>
      <w:rFonts w:ascii="Calibri" w:eastAsia="SimSun" w:hAnsi="Calibri" w:cs="Times New Roman"/>
      <w:b/>
      <w:bCs/>
      <w:color w:val="352F25"/>
      <w:sz w:val="32"/>
    </w:rPr>
  </w:style>
  <w:style w:type="character" w:customStyle="1" w:styleId="Heading2Char">
    <w:name w:val="Heading 2 Char"/>
    <w:basedOn w:val="DefaultParagraphFont"/>
    <w:link w:val="Heading2"/>
    <w:uiPriority w:val="9"/>
    <w:semiHidden/>
    <w:rsid w:val="00315286"/>
    <w:rPr>
      <w:rFonts w:asciiTheme="majorHAnsi" w:eastAsiaTheme="majorEastAsia" w:hAnsiTheme="majorHAnsi" w:cstheme="majorBidi"/>
      <w:b/>
      <w:bCs/>
      <w:i/>
      <w:iCs/>
      <w:color w:val="4D4436"/>
      <w:sz w:val="28"/>
      <w:szCs w:val="28"/>
      <w:lang w:val="en-US" w:eastAsia="ja-JP"/>
    </w:rPr>
  </w:style>
  <w:style w:type="character" w:styleId="PlaceholderText">
    <w:name w:val="Placeholder Text"/>
    <w:basedOn w:val="DefaultParagraphFont"/>
    <w:uiPriority w:val="99"/>
    <w:semiHidden/>
    <w:rsid w:val="00382FF6"/>
    <w:rPr>
      <w:rFonts w:cs="Times New Roman"/>
      <w:color w:val="808080"/>
    </w:rPr>
  </w:style>
  <w:style w:type="paragraph" w:styleId="Title">
    <w:name w:val="Title"/>
    <w:basedOn w:val="Normal"/>
    <w:next w:val="Normal"/>
    <w:link w:val="TitleChar"/>
    <w:uiPriority w:val="99"/>
    <w:qFormat/>
    <w:rsid w:val="00382FF6"/>
    <w:pPr>
      <w:spacing w:after="720" w:line="204" w:lineRule="auto"/>
      <w:contextualSpacing/>
    </w:pPr>
    <w:rPr>
      <w:rFonts w:ascii="Calibri" w:eastAsia="SimSun" w:hAnsi="Calibri"/>
      <w:b/>
      <w:bCs/>
      <w:caps/>
      <w:color w:val="027E6F"/>
      <w:spacing w:val="-10"/>
      <w:kern w:val="28"/>
      <w:sz w:val="104"/>
    </w:rPr>
  </w:style>
  <w:style w:type="character" w:customStyle="1" w:styleId="TitleChar">
    <w:name w:val="Title Char"/>
    <w:basedOn w:val="DefaultParagraphFont"/>
    <w:link w:val="Title"/>
    <w:uiPriority w:val="99"/>
    <w:locked/>
    <w:rsid w:val="00382FF6"/>
    <w:rPr>
      <w:rFonts w:ascii="Calibri" w:eastAsia="SimSun" w:hAnsi="Calibri" w:cs="Times New Roman"/>
      <w:b/>
      <w:bCs/>
      <w:caps/>
      <w:color w:val="027E6F"/>
      <w:spacing w:val="-10"/>
      <w:kern w:val="28"/>
      <w:sz w:val="104"/>
    </w:rPr>
  </w:style>
  <w:style w:type="table" w:styleId="TableGrid">
    <w:name w:val="Table Grid"/>
    <w:basedOn w:val="TableNormal"/>
    <w:uiPriority w:val="99"/>
    <w:rsid w:val="00382F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382FF6"/>
    <w:pPr>
      <w:numPr>
        <w:numId w:val="5"/>
      </w:numPr>
    </w:pPr>
  </w:style>
  <w:style w:type="paragraph" w:styleId="Caption">
    <w:name w:val="caption"/>
    <w:basedOn w:val="Normal"/>
    <w:next w:val="Normal"/>
    <w:uiPriority w:val="99"/>
    <w:qFormat/>
    <w:rsid w:val="00382FF6"/>
    <w:pPr>
      <w:spacing w:after="0" w:line="240" w:lineRule="auto"/>
    </w:pPr>
    <w:rPr>
      <w:i/>
      <w:iCs/>
      <w:sz w:val="16"/>
    </w:rPr>
  </w:style>
  <w:style w:type="character" w:styleId="Strong">
    <w:name w:val="Strong"/>
    <w:basedOn w:val="DefaultParagraphFont"/>
    <w:uiPriority w:val="99"/>
    <w:qFormat/>
    <w:rsid w:val="00382FF6"/>
    <w:rPr>
      <w:rFonts w:cs="Times New Roman"/>
      <w:b/>
      <w:bCs/>
    </w:rPr>
  </w:style>
  <w:style w:type="paragraph" w:styleId="Header">
    <w:name w:val="header"/>
    <w:basedOn w:val="Normal"/>
    <w:link w:val="HeaderChar"/>
    <w:uiPriority w:val="99"/>
    <w:rsid w:val="00382F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2FF6"/>
    <w:rPr>
      <w:rFonts w:cs="Times New Roman"/>
    </w:rPr>
  </w:style>
  <w:style w:type="paragraph" w:styleId="Footer">
    <w:name w:val="footer"/>
    <w:basedOn w:val="Normal"/>
    <w:link w:val="FooterChar"/>
    <w:uiPriority w:val="99"/>
    <w:rsid w:val="00382FF6"/>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locked/>
    <w:rsid w:val="00382FF6"/>
    <w:rPr>
      <w:rFonts w:cs="Times New Roman"/>
      <w:sz w:val="17"/>
    </w:rPr>
  </w:style>
  <w:style w:type="paragraph" w:customStyle="1" w:styleId="Company">
    <w:name w:val="Company"/>
    <w:basedOn w:val="Normal"/>
    <w:uiPriority w:val="99"/>
    <w:rsid w:val="00382FF6"/>
    <w:pPr>
      <w:spacing w:after="0" w:line="240" w:lineRule="auto"/>
    </w:pPr>
    <w:rPr>
      <w:rFonts w:ascii="Calibri" w:eastAsia="SimSun" w:hAnsi="Calibri"/>
      <w:b/>
      <w:bCs/>
      <w:caps/>
      <w:color w:val="027E6F"/>
    </w:rPr>
  </w:style>
  <w:style w:type="paragraph" w:styleId="NoSpacing">
    <w:name w:val="No Spacing"/>
    <w:uiPriority w:val="99"/>
    <w:qFormat/>
    <w:rsid w:val="00382FF6"/>
    <w:rPr>
      <w:color w:val="4D4436"/>
      <w:sz w:val="20"/>
      <w:szCs w:val="20"/>
      <w:lang w:val="en-US" w:eastAsia="ja-JP"/>
    </w:rPr>
  </w:style>
  <w:style w:type="paragraph" w:styleId="Date">
    <w:name w:val="Date"/>
    <w:basedOn w:val="Normal"/>
    <w:next w:val="Normal"/>
    <w:link w:val="DateChar"/>
    <w:uiPriority w:val="99"/>
    <w:rsid w:val="00382FF6"/>
    <w:pPr>
      <w:spacing w:before="720" w:after="0" w:line="216" w:lineRule="auto"/>
    </w:pPr>
    <w:rPr>
      <w:rFonts w:ascii="Calibri" w:eastAsia="SimSun" w:hAnsi="Calibri"/>
      <w:color w:val="027E6F"/>
      <w:sz w:val="52"/>
    </w:rPr>
  </w:style>
  <w:style w:type="character" w:customStyle="1" w:styleId="DateChar">
    <w:name w:val="Date Char"/>
    <w:basedOn w:val="DefaultParagraphFont"/>
    <w:link w:val="Date"/>
    <w:uiPriority w:val="99"/>
    <w:locked/>
    <w:rsid w:val="00382FF6"/>
    <w:rPr>
      <w:rFonts w:ascii="Calibri" w:eastAsia="SimSun" w:hAnsi="Calibri" w:cs="Times New Roman"/>
      <w:color w:val="027E6F"/>
      <w:sz w:val="52"/>
    </w:rPr>
  </w:style>
  <w:style w:type="paragraph" w:customStyle="1" w:styleId="Address">
    <w:name w:val="Address"/>
    <w:basedOn w:val="Normal"/>
    <w:uiPriority w:val="99"/>
    <w:rsid w:val="00382FF6"/>
    <w:pPr>
      <w:spacing w:after="0" w:line="240" w:lineRule="auto"/>
    </w:pPr>
    <w:rPr>
      <w:sz w:val="40"/>
    </w:rPr>
  </w:style>
  <w:style w:type="paragraph" w:styleId="ListParagraph">
    <w:name w:val="List Paragraph"/>
    <w:basedOn w:val="Normal"/>
    <w:uiPriority w:val="99"/>
    <w:qFormat/>
    <w:rsid w:val="00BF19EA"/>
    <w:pPr>
      <w:ind w:left="720"/>
      <w:contextualSpacing/>
    </w:pPr>
  </w:style>
  <w:style w:type="character" w:styleId="Hyperlink">
    <w:name w:val="Hyperlink"/>
    <w:basedOn w:val="DefaultParagraphFont"/>
    <w:uiPriority w:val="99"/>
    <w:rsid w:val="00322D6B"/>
    <w:rPr>
      <w:rFonts w:cs="Times New Roman"/>
      <w:color w:val="4D4436"/>
      <w:u w:val="single"/>
    </w:rPr>
  </w:style>
  <w:style w:type="paragraph" w:styleId="BalloonText">
    <w:name w:val="Balloon Text"/>
    <w:basedOn w:val="Normal"/>
    <w:link w:val="BalloonTextChar"/>
    <w:uiPriority w:val="99"/>
    <w:semiHidden/>
    <w:rsid w:val="004A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55BB"/>
    <w:rPr>
      <w:rFonts w:ascii="Segoe UI" w:hAnsi="Segoe UI" w:cs="Segoe UI"/>
      <w:sz w:val="18"/>
      <w:szCs w:val="18"/>
    </w:rPr>
  </w:style>
  <w:style w:type="paragraph" w:styleId="BodyText">
    <w:name w:val="Body Text"/>
    <w:basedOn w:val="Normal"/>
    <w:link w:val="BodyTextChar"/>
    <w:uiPriority w:val="99"/>
    <w:rsid w:val="00B649FB"/>
    <w:pPr>
      <w:widowControl w:val="0"/>
      <w:suppressAutoHyphens/>
      <w:spacing w:after="120" w:line="240" w:lineRule="auto"/>
    </w:pPr>
    <w:rPr>
      <w:rFonts w:ascii="Arial" w:eastAsia="Arial Unicode MS" w:hAnsi="Arial"/>
      <w:color w:val="auto"/>
      <w:kern w:val="1"/>
      <w:sz w:val="22"/>
      <w:szCs w:val="24"/>
    </w:rPr>
  </w:style>
  <w:style w:type="character" w:customStyle="1" w:styleId="BodyTextChar">
    <w:name w:val="Body Text Char"/>
    <w:basedOn w:val="DefaultParagraphFont"/>
    <w:link w:val="BodyText"/>
    <w:uiPriority w:val="99"/>
    <w:semiHidden/>
    <w:rsid w:val="00315286"/>
    <w:rPr>
      <w:color w:val="4D4436"/>
      <w:sz w:val="20"/>
      <w:szCs w:val="20"/>
      <w:lang w:val="en-US" w:eastAsia="ja-JP"/>
    </w:rPr>
  </w:style>
  <w:style w:type="paragraph" w:customStyle="1" w:styleId="TableContents">
    <w:name w:val="Table Contents"/>
    <w:basedOn w:val="Normal"/>
    <w:uiPriority w:val="99"/>
    <w:rsid w:val="00B649FB"/>
    <w:pPr>
      <w:widowControl w:val="0"/>
      <w:suppressLineNumbers/>
      <w:suppressAutoHyphens/>
      <w:spacing w:after="0" w:line="240" w:lineRule="auto"/>
    </w:pPr>
    <w:rPr>
      <w:rFonts w:ascii="Arial" w:eastAsia="Arial Unicode MS" w:hAnsi="Arial"/>
      <w:color w:val="auto"/>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2540">
      <w:marLeft w:val="0"/>
      <w:marRight w:val="0"/>
      <w:marTop w:val="0"/>
      <w:marBottom w:val="0"/>
      <w:divBdr>
        <w:top w:val="none" w:sz="0" w:space="0" w:color="auto"/>
        <w:left w:val="none" w:sz="0" w:space="0" w:color="auto"/>
        <w:bottom w:val="none" w:sz="0" w:space="0" w:color="auto"/>
        <w:right w:val="none" w:sz="0" w:space="0" w:color="auto"/>
      </w:divBdr>
    </w:div>
    <w:div w:id="192271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oganendoscopy.com.a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oganendoscopy.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office@loganendoscopy.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_000\AppData\Roaming\Microsoft\Templates\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flyer.dotx</Template>
  <TotalTime>1</TotalTime>
  <Pages>4</Pages>
  <Words>1058</Words>
  <Characters>5757</Characters>
  <Application>Microsoft Office Word</Application>
  <DocSecurity>0</DocSecurity>
  <Lines>140</Lines>
  <Paragraphs>74</Paragraphs>
  <ScaleCrop>false</ScaleCrop>
  <HeadingPairs>
    <vt:vector size="2" baseType="variant">
      <vt:variant>
        <vt:lpstr>Title</vt:lpstr>
      </vt:variant>
      <vt:variant>
        <vt:i4>1</vt:i4>
      </vt:variant>
    </vt:vector>
  </HeadingPairs>
  <TitlesOfParts>
    <vt:vector size="1" baseType="lpstr">
      <vt:lpstr>THROUGH THE SCOPE</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SCOPE</dc:title>
  <dc:subject/>
  <dc:creator>Toshiba-User</dc:creator>
  <cp:keywords/>
  <dc:description/>
  <cp:lastModifiedBy>ggggg</cp:lastModifiedBy>
  <cp:revision>2</cp:revision>
  <cp:lastPrinted>2017-03-11T12:00:00Z</cp:lastPrinted>
  <dcterms:created xsi:type="dcterms:W3CDTF">2017-03-12T08:01:00Z</dcterms:created>
  <dcterms:modified xsi:type="dcterms:W3CDTF">2017-03-12T08:01:00Z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